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“博地源杯”</w:t>
      </w: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届全国大学生国土空间规划技能大赛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决赛通知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</w:rPr>
        <w:t>（第</w:t>
      </w:r>
      <w:r>
        <w:rPr>
          <w:rFonts w:hint="eastAsia" w:ascii="Times New Roman" w:hAnsi="Times New Roman" w:eastAsia="黑体" w:cs="Times New Roman"/>
          <w:sz w:val="32"/>
        </w:rPr>
        <w:t>2</w:t>
      </w:r>
      <w:r>
        <w:rPr>
          <w:rFonts w:ascii="Times New Roman" w:hAnsi="Times New Roman" w:eastAsia="黑体" w:cs="Times New Roman"/>
          <w:sz w:val="32"/>
        </w:rPr>
        <w:t>号）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决</w:t>
      </w:r>
      <w:r>
        <w:rPr>
          <w:rFonts w:ascii="Times New Roman" w:hAnsi="Times New Roman" w:eastAsia="仿宋_GB2312" w:cs="Times New Roman"/>
          <w:sz w:val="28"/>
          <w:szCs w:val="28"/>
        </w:rPr>
        <w:t>赛入围单位：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热烈祝贺你们的作品入围第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七</w:t>
      </w:r>
      <w:r>
        <w:rPr>
          <w:rFonts w:ascii="Times New Roman" w:hAnsi="Times New Roman" w:eastAsia="仿宋_GB2312" w:cs="Times New Roman"/>
          <w:sz w:val="28"/>
          <w:szCs w:val="28"/>
        </w:rPr>
        <w:t>届全国大学生国土空间规划技能大赛决赛！现就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决</w:t>
      </w:r>
      <w:r>
        <w:rPr>
          <w:rFonts w:ascii="Times New Roman" w:hAnsi="Times New Roman" w:eastAsia="仿宋_GB2312" w:cs="Times New Roman"/>
          <w:sz w:val="28"/>
          <w:szCs w:val="28"/>
        </w:rPr>
        <w:t>赛工作的安排如下：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、决赛入围情况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截止2024年6月30日组委会共收到来自95所高校的167件作品。组委会原定分为5组、每组评出12份作品入围决赛。7月7-15日</w:t>
      </w:r>
      <w:r>
        <w:rPr>
          <w:rFonts w:ascii="Times New Roman" w:hAnsi="Times New Roman" w:eastAsia="仿宋_GB2312" w:cs="Times New Roman"/>
          <w:sz w:val="28"/>
          <w:szCs w:val="28"/>
        </w:rPr>
        <w:t>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15位函评专家匿名评审，统计排序后出现小组内作品同分情况。为响应参赛队伍的积极性，在大赛组委会的指导和赞助方的大力支持下，7月20日经线上会议讨论，专家组研究决定63份作品入围决赛（详见附表）。</w:t>
      </w:r>
      <w:r>
        <w:rPr>
          <w:rFonts w:ascii="Times New Roman" w:hAnsi="Times New Roman" w:eastAsia="仿宋_GB2312" w:cs="Times New Roman"/>
          <w:sz w:val="28"/>
          <w:szCs w:val="28"/>
        </w:rPr>
        <w:t>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支入围决赛队伍</w:t>
      </w:r>
      <w:r>
        <w:rPr>
          <w:rFonts w:ascii="Times New Roman" w:hAnsi="Times New Roman" w:eastAsia="仿宋_GB2312" w:cs="Times New Roman"/>
          <w:sz w:val="28"/>
          <w:szCs w:val="28"/>
        </w:rPr>
        <w:t>在8月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18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2:00前将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作品</w:t>
      </w:r>
      <w:r>
        <w:rPr>
          <w:rFonts w:ascii="Times New Roman" w:hAnsi="Times New Roman" w:eastAsia="仿宋_GB2312" w:cs="Times New Roman"/>
          <w:sz w:val="28"/>
          <w:szCs w:val="28"/>
        </w:rPr>
        <w:t>汇报PPT发送到大赛组委会指定邮箱（</w:t>
      </w:r>
      <w:r>
        <w:fldChar w:fldCharType="begin"/>
      </w:r>
      <w:r>
        <w:instrText xml:space="preserve">HYPERLINK "mailto:GTKJ2024@163.com"</w:instrText>
      </w:r>
      <w:r>
        <w:fldChar w:fldCharType="separate"/>
      </w:r>
      <w:r>
        <w:rPr>
          <w:rStyle w:val="9"/>
          <w:rFonts w:ascii="Times New Roman" w:hAnsi="Times New Roman" w:eastAsia="仿宋_GB2312" w:cs="Times New Roman"/>
          <w:sz w:val="28"/>
          <w:szCs w:val="28"/>
        </w:rPr>
        <w:t>GTKJ202</w:t>
      </w:r>
      <w:r>
        <w:rPr>
          <w:rStyle w:val="9"/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Style w:val="9"/>
          <w:rFonts w:ascii="Times New Roman" w:hAnsi="Times New Roman" w:eastAsia="仿宋_GB2312" w:cs="Times New Roman"/>
          <w:sz w:val="28"/>
          <w:szCs w:val="28"/>
        </w:rPr>
        <w:t>@163.com</w:t>
      </w:r>
      <w:r>
        <w:rPr>
          <w:rStyle w:val="9"/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）。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、决赛时间及形式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决</w:t>
      </w:r>
      <w:r>
        <w:rPr>
          <w:rFonts w:ascii="Times New Roman" w:hAnsi="Times New Roman" w:eastAsia="仿宋_GB2312" w:cs="Times New Roman"/>
          <w:sz w:val="28"/>
          <w:szCs w:val="28"/>
        </w:rPr>
        <w:t>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时间为</w:t>
      </w:r>
      <w:r>
        <w:rPr>
          <w:rFonts w:ascii="Times New Roman" w:hAnsi="Times New Roman" w:eastAsia="仿宋_GB2312" w:cs="Times New Roman"/>
          <w:sz w:val="28"/>
          <w:szCs w:val="28"/>
        </w:rPr>
        <w:t>8月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25</w:t>
      </w:r>
      <w:r>
        <w:rPr>
          <w:rFonts w:ascii="Times New Roman" w:hAnsi="Times New Roman" w:eastAsia="仿宋_GB2312" w:cs="Times New Roman"/>
          <w:sz w:val="28"/>
          <w:szCs w:val="28"/>
        </w:rPr>
        <w:t>日，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分两轮进行。第一轮比赛</w:t>
      </w:r>
      <w:r>
        <w:rPr>
          <w:rFonts w:ascii="Times New Roman" w:hAnsi="Times New Roman" w:eastAsia="仿宋_GB2312" w:cs="Times New Roman"/>
          <w:sz w:val="28"/>
          <w:szCs w:val="28"/>
        </w:rPr>
        <w:t>以小组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PPT</w:t>
      </w:r>
      <w:r>
        <w:rPr>
          <w:rFonts w:ascii="Times New Roman" w:hAnsi="Times New Roman" w:eastAsia="仿宋_GB2312" w:cs="Times New Roman"/>
          <w:sz w:val="28"/>
          <w:szCs w:val="28"/>
        </w:rPr>
        <w:t>汇报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展示</w:t>
      </w:r>
      <w:r>
        <w:rPr>
          <w:rFonts w:ascii="Times New Roman" w:hAnsi="Times New Roman" w:eastAsia="仿宋_GB2312" w:cs="Times New Roman"/>
          <w:sz w:val="28"/>
          <w:szCs w:val="28"/>
        </w:rPr>
        <w:t>+专家评审的形式进行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分为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个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会场，每个会场约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15-16</w:t>
      </w:r>
      <w:r>
        <w:rPr>
          <w:rFonts w:ascii="Times New Roman" w:hAnsi="Times New Roman" w:eastAsia="仿宋_GB2312" w:cs="Times New Roman"/>
          <w:sz w:val="28"/>
          <w:szCs w:val="28"/>
        </w:rPr>
        <w:t>支队伍，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位评审专家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。决赛</w:t>
      </w:r>
      <w:r>
        <w:rPr>
          <w:rFonts w:ascii="Times New Roman" w:hAnsi="Times New Roman" w:eastAsia="仿宋_GB2312" w:cs="Times New Roman"/>
          <w:sz w:val="28"/>
          <w:szCs w:val="28"/>
        </w:rPr>
        <w:t>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</w:t>
      </w:r>
      <w:r>
        <w:rPr>
          <w:rFonts w:ascii="Times New Roman" w:hAnsi="Times New Roman" w:eastAsia="仿宋_GB2312" w:cs="Times New Roman"/>
          <w:sz w:val="28"/>
          <w:szCs w:val="28"/>
        </w:rPr>
        <w:t>汇报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时长8</w:t>
      </w:r>
      <w:r>
        <w:rPr>
          <w:rFonts w:ascii="Times New Roman" w:hAnsi="Times New Roman" w:eastAsia="仿宋_GB2312" w:cs="Times New Roman"/>
          <w:sz w:val="28"/>
          <w:szCs w:val="28"/>
        </w:rPr>
        <w:t>分钟，评委提问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答辩2</w:t>
      </w:r>
      <w:r>
        <w:rPr>
          <w:rFonts w:ascii="Times New Roman" w:hAnsi="Times New Roman" w:eastAsia="仿宋_GB2312" w:cs="Times New Roman"/>
          <w:sz w:val="28"/>
          <w:szCs w:val="28"/>
        </w:rPr>
        <w:t>分钟，需要严格控制时间（时间控制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作为</w:t>
      </w:r>
      <w:r>
        <w:rPr>
          <w:rFonts w:ascii="Times New Roman" w:hAnsi="Times New Roman" w:eastAsia="仿宋_GB2312" w:cs="Times New Roman"/>
          <w:sz w:val="28"/>
          <w:szCs w:val="28"/>
        </w:rPr>
        <w:t>评分因素）。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评委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本组每支队伍进行打分，根据每个小组评分结果，每组前2名共8支队伍晋级第二轮PK赛。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分组情况、各</w:t>
      </w:r>
      <w:r>
        <w:rPr>
          <w:rFonts w:ascii="Times New Roman" w:hAnsi="Times New Roman" w:eastAsia="仿宋_GB2312" w:cs="Times New Roman"/>
          <w:sz w:val="28"/>
          <w:szCs w:val="28"/>
        </w:rPr>
        <w:t>小组汇报时间安排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及其他未尽事宜</w:t>
      </w:r>
      <w:r>
        <w:rPr>
          <w:rFonts w:ascii="Times New Roman" w:hAnsi="Times New Roman" w:eastAsia="仿宋_GB2312" w:cs="Times New Roman"/>
          <w:sz w:val="28"/>
          <w:szCs w:val="28"/>
        </w:rPr>
        <w:t>，请见后续公布的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决</w:t>
      </w:r>
      <w:r>
        <w:rPr>
          <w:rFonts w:ascii="Times New Roman" w:hAnsi="Times New Roman" w:eastAsia="仿宋_GB2312" w:cs="Times New Roman"/>
          <w:sz w:val="28"/>
          <w:szCs w:val="28"/>
        </w:rPr>
        <w:t>赛安排手册。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PK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赛规则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第二轮PK赛由8支队伍抽签分成四组，每组的甲、乙两支队伍进行30分钟的辩论赛及专家互动。比赛双方需在规定时间内阐述自己的规划方案和设计思路，并根据对方的提问进行辩论，最后进行方案总结。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64"/>
        <w:gridCol w:w="3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环节</w:t>
            </w: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甲队流程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乙队流程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甲方队员陈述本组的规划方案及规划思路。限时5分钟。（</w:t>
            </w:r>
            <w:r>
              <w:rPr>
                <w:rFonts w:ascii="仿宋" w:hAnsi="仿宋" w:eastAsia="仿宋"/>
                <w:sz w:val="28"/>
                <w:szCs w:val="30"/>
              </w:rPr>
              <w:t>PPT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>2</w:t>
            </w:r>
          </w:p>
        </w:tc>
        <w:tc>
          <w:tcPr>
            <w:tcW w:w="7229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乙方提问甲方作答，双方队员可自由辩论。限时4分钟。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乙方队员陈述本组的规划方案及规划思路。限时5分钟。（</w:t>
            </w:r>
            <w:r>
              <w:rPr>
                <w:rFonts w:ascii="仿宋" w:hAnsi="仿宋" w:eastAsia="仿宋"/>
                <w:sz w:val="28"/>
                <w:szCs w:val="30"/>
              </w:rPr>
              <w:t>PPT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>4</w:t>
            </w:r>
          </w:p>
        </w:tc>
        <w:tc>
          <w:tcPr>
            <w:tcW w:w="7229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甲方提问乙方作答，双方队员可自由辩论。限时4分钟。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>5</w:t>
            </w:r>
          </w:p>
        </w:tc>
        <w:tc>
          <w:tcPr>
            <w:tcW w:w="3364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甲方作方案总结陈述。限时3分钟。</w:t>
            </w:r>
          </w:p>
        </w:tc>
        <w:tc>
          <w:tcPr>
            <w:tcW w:w="3865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>6</w:t>
            </w:r>
          </w:p>
        </w:tc>
        <w:tc>
          <w:tcPr>
            <w:tcW w:w="336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乙方作方案总结陈述。限时3分钟。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7</w:t>
            </w:r>
          </w:p>
        </w:tc>
        <w:tc>
          <w:tcPr>
            <w:tcW w:w="7229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专家提问及互动环节（6分钟）。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88" w:type="dxa"/>
            <w:gridSpan w:val="4"/>
            <w:shd w:val="clear" w:color="auto" w:fill="auto"/>
          </w:tcPr>
          <w:p>
            <w:pPr>
              <w:ind w:left="108" w:firstLine="560" w:firstLineChars="200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总计3</w:t>
            </w:r>
            <w:r>
              <w:rPr>
                <w:rFonts w:ascii="仿宋" w:hAnsi="仿宋" w:eastAsia="仿宋"/>
                <w:sz w:val="28"/>
                <w:szCs w:val="30"/>
              </w:rPr>
              <w:t>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分钟</w:t>
            </w:r>
          </w:p>
        </w:tc>
      </w:tr>
    </w:tbl>
    <w:p>
      <w:pPr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注</w:t>
      </w:r>
      <w:r>
        <w:rPr>
          <w:rFonts w:ascii="仿宋" w:hAnsi="仿宋" w:eastAsia="仿宋"/>
          <w:sz w:val="28"/>
          <w:szCs w:val="30"/>
        </w:rPr>
        <w:t>:</w:t>
      </w:r>
      <w:r>
        <w:rPr>
          <w:rFonts w:ascii="仿宋" w:hAnsi="仿宋" w:eastAsia="仿宋"/>
          <w:sz w:val="28"/>
          <w:szCs w:val="30"/>
        </w:rPr>
        <w:fldChar w:fldCharType="begin"/>
      </w:r>
      <w:r>
        <w:rPr>
          <w:rFonts w:ascii="仿宋" w:hAnsi="仿宋" w:eastAsia="仿宋"/>
          <w:sz w:val="28"/>
          <w:szCs w:val="30"/>
        </w:rPr>
        <w:instrText xml:space="preserve">= 1 \* GB3</w:instrText>
      </w:r>
      <w:r>
        <w:rPr>
          <w:rFonts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①</w:t>
      </w:r>
      <w:r>
        <w:rPr>
          <w:rFonts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队员每次提问只能提一个问题；</w:t>
      </w:r>
      <w:r>
        <w:rPr>
          <w:rFonts w:ascii="仿宋" w:hAnsi="仿宋" w:eastAsia="仿宋"/>
          <w:sz w:val="28"/>
          <w:szCs w:val="30"/>
        </w:rPr>
        <w:fldChar w:fldCharType="begin"/>
      </w:r>
      <w:r>
        <w:rPr>
          <w:rFonts w:ascii="仿宋" w:hAnsi="仿宋" w:eastAsia="仿宋"/>
          <w:sz w:val="28"/>
          <w:szCs w:val="30"/>
        </w:rPr>
        <w:instrText xml:space="preserve">= 2 \* GB3</w:instrText>
      </w:r>
      <w:r>
        <w:rPr>
          <w:rFonts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②</w:t>
      </w:r>
      <w:r>
        <w:rPr>
          <w:rFonts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发言时请起立；</w:t>
      </w:r>
      <w:r>
        <w:rPr>
          <w:rFonts w:ascii="仿宋" w:hAnsi="仿宋" w:eastAsia="仿宋"/>
          <w:sz w:val="28"/>
          <w:szCs w:val="30"/>
        </w:rPr>
        <w:fldChar w:fldCharType="begin"/>
      </w:r>
      <w:r>
        <w:rPr>
          <w:rFonts w:ascii="仿宋" w:hAnsi="仿宋" w:eastAsia="仿宋"/>
          <w:sz w:val="28"/>
          <w:szCs w:val="30"/>
        </w:rPr>
        <w:instrText xml:space="preserve">= 3 \* GB3</w:instrText>
      </w:r>
      <w:r>
        <w:rPr>
          <w:rFonts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③</w:t>
      </w:r>
      <w:r>
        <w:rPr>
          <w:rFonts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提问时可指定对方某位队员回答，但不能连续提问该队员。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、作品提交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每支决赛队伍需要提交汇报PPT、作品（PDF）和海报电子版（120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28"/>
          <w:szCs w:val="28"/>
        </w:rPr>
        <w:t>cm*80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cm，300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dpi）发送组委会指定邮箱。</w:t>
      </w:r>
      <w:bookmarkStart w:id="0" w:name="_Hlk127078307"/>
      <w:r>
        <w:rPr>
          <w:rFonts w:hint="eastAsia" w:ascii="Times New Roman" w:hAnsi="Times New Roman" w:eastAsia="仿宋_GB2312" w:cs="Times New Roman"/>
          <w:sz w:val="28"/>
          <w:szCs w:val="28"/>
        </w:rPr>
        <w:t>同时需要寄送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份纸质作品给组委会。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请注意：作品需要自行打印（黑白或彩打自行决定，也可仅主要图件彩打）。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寄送地址：江苏省南京市江宁区佛城西路8号河海大学公共管理学院，需确保在</w:t>
      </w:r>
      <w:r>
        <w:rPr>
          <w:rFonts w:ascii="Times New Roman" w:hAnsi="Times New Roman" w:eastAsia="仿宋_GB2312" w:cs="Times New Roman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月18日能寄到，逾期未寄，责任自负。</w:t>
      </w:r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决</w:t>
      </w:r>
      <w:r>
        <w:rPr>
          <w:rFonts w:ascii="Times New Roman" w:hAnsi="Times New Roman" w:eastAsia="仿宋_GB2312" w:cs="Times New Roman"/>
          <w:sz w:val="28"/>
          <w:szCs w:val="28"/>
        </w:rPr>
        <w:t>赛其他事宜请及时关注组委会通知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请入围小组加入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决</w:t>
      </w:r>
      <w:r>
        <w:rPr>
          <w:rFonts w:ascii="Times New Roman" w:hAnsi="Times New Roman" w:eastAsia="仿宋_GB2312" w:cs="Times New Roman"/>
          <w:sz w:val="28"/>
          <w:szCs w:val="28"/>
        </w:rPr>
        <w:t>赛交流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qq</w:t>
      </w:r>
      <w:r>
        <w:rPr>
          <w:rFonts w:ascii="Times New Roman" w:hAnsi="Times New Roman" w:eastAsia="仿宋_GB2312" w:cs="Times New Roman"/>
          <w:sz w:val="28"/>
          <w:szCs w:val="28"/>
        </w:rPr>
        <w:t>群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drawing>
          <wp:inline distT="0" distB="0" distL="114300" distR="114300">
            <wp:extent cx="2000250" cy="210566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请各参赛单位高度重视，加强过程督导，切实保证参赛作品的答辩质量。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决赛联系人及电话：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袁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源</w:t>
      </w:r>
      <w:r>
        <w:rPr>
          <w:rFonts w:ascii="Times New Roman" w:hAnsi="Times New Roman" w:eastAsia="仿宋_GB2312" w:cs="Times New Roman"/>
          <w:sz w:val="28"/>
          <w:szCs w:val="28"/>
        </w:rPr>
        <w:t>：13852291411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赵小风</w:t>
      </w:r>
      <w:r>
        <w:rPr>
          <w:rFonts w:ascii="Times New Roman" w:hAnsi="Times New Roman" w:eastAsia="仿宋_GB2312" w:cs="Times New Roman"/>
          <w:sz w:val="28"/>
          <w:szCs w:val="28"/>
        </w:rPr>
        <w:t>：15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850511360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七</w:t>
      </w:r>
      <w:r>
        <w:rPr>
          <w:rFonts w:ascii="Times New Roman" w:hAnsi="Times New Roman" w:eastAsia="仿宋_GB2312" w:cs="Times New Roman"/>
          <w:sz w:val="28"/>
          <w:szCs w:val="28"/>
        </w:rPr>
        <w:t>届全国大学生国土空间规划技能大赛组委会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河海大学</w:t>
      </w:r>
      <w:r>
        <w:rPr>
          <w:rFonts w:ascii="Times New Roman" w:hAnsi="Times New Roman" w:eastAsia="仿宋_GB2312" w:cs="Times New Roman"/>
          <w:sz w:val="28"/>
          <w:szCs w:val="28"/>
        </w:rPr>
        <w:t>公共管理学院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决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赛作品名单</w:t>
      </w:r>
    </w:p>
    <w:tbl>
      <w:tblPr>
        <w:tblStyle w:val="6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45"/>
        <w:gridCol w:w="1881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95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南京师范大学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环境学院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“空谷传响，虹色艺境” ——南京市浦口区江浦街道华光社区响堂村特色田园乡村规划（2023-2035年）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武汉大学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武汉大学大学生工程训练与创新实践中心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育新质生产力，铸乡村微中心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同济大学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建筑与城市规划学院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三廊通嘉地 双核聚定城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湖南科技大学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建筑与艺术设计学院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驿客入画，卷中探花—共生观念下艺术介入湘潭县白石镇杏花村村庄规划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合肥工业大学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建筑与艺术学院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六安市裕安区丁集镇国土空间总体规划（2021-2035年）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四川农业大学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资源学院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石刻镌心韵，农耕滋香尘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重庆城市科技学院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建筑与土木工程学院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智营绿碳，山城焕新——基于“双碳”背景下的旧城改造 更新设计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中国矿业大学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“守山护水，古韵新生”—江苏省徐州市铜山区张集镇梁堂村村庄规划（2023-2035）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安徽财经大学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财政与公共管理学院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稻芍岁稔笑声稠，红妆笙歌共绘辉——滁州市来安县半塔镇松郢村村庄规划（2024-2035）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浙江工商大学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春风劲唤凤联起，果香竹韵绘新章——杭州市桐庐县横村镇凤联村村庄规划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华中农业大学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百蔬清脆生芳馥，田园葱翠享蔬福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山西农业大学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资源环境学院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“涔山巨磊居关隘，汾水甘源育山林”—基于NbS的宁武县国土空间生态修复规划设计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商丘师范学院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测绘与规划学院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《莲映南山·步步锦绣》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长安大学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土地工程学院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旬水绘蓝图，太极展新篇一旬阳市XY-07单元(草坪片区) 详细规划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东北大学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文法学院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湖畔锡韵，稻田绘梦——辽宁省沈阳市拉塔湖村实用性村庄规划（2024-2035年）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河海大学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“‘姜’韵鹅塘，‘下’里新篇”：村域“三生空间”视角下的溧阳市姜下村村庄规划（2023-2035年）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湖南科技大学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地球科学与空间信息工程学院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清江一曲抱村流，长梦红韵田里悠——黄山市休宁县汪村镇田里村村庄规划（2021-2035）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中国地质大学（北京）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土地科学技术学院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“翠林幽幽簇田园，佳酿醇醇溢古巷”-北京市通州区张家湾镇烧酒巷村村庄规划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河南城建学院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建筑与城市规划学院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山水扶弦乡韵悠，文产挥毫古村秀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东北农业大学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资源与环境学院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潺溪润山间，智治友好村——吉林省长春市净月区玉潭镇友好村村庄规划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西南大学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地理科学学院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矿山新颜荷香里，田园慢享乐永宁——永宁寺村构建“矿山遗址生态慢城”村庄国土空间规划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东华理工大学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测绘与空间信息工程学院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东山揽翠，沽塘绘蓝——萍乡经济开发区彭高镇东山村和沽塘村村庄规划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安徽财经大学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财政与公共管理学院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“女湖一曲抱村游，林田山色人尽收”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新疆农业大学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经济管理学院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“草原遗韵·喀拉雅境”-一博尔通古乡喀拉巴斯陶村实用性村庄规划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风景园林艺术学院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绿意韵田园，农科创未来——杨凌示范区国土空间总体规划（2021-2035）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中国矿业大学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环境与测绘学院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悬河遗落，富美廊道——基于生态产品价值实现的江苏睢宁县黄河故道生态保护和修复规划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居业协同·和美桃乡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湖南师范大学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地理科学学院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古韵文旅镇 新律生态乡——生态环境导向下的新化县水车镇国土空间总体规划（2021～2035）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南京农业大学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“诗画田园 水韵赵坝”——江苏省南京市六合区龙袍街道赵坝村实用性村庄规划（2024-2035）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南宁师范大学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自然资源与测绘学院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“滨海而生，万物萌动”——大食物观引领下的北海市垌尾村村庄规划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武汉大学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武汉大学大学生工程训练与创新实践中心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竹韵茶居、耕游意境—基于耕、游、居三类人群活动空间融合理念的村庄场景营造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福建农林大学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公共管理与法学院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“茶香药韵，山行枫林”——园庄镇枫林村国土空间总体规划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华南农业大学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邓山村间觅榄果，骑趣山风探知行  —— 广州市增城区邓山村国土空间规划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兰州理工大学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设计艺术学院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承脉织新，遍绿连城-永登县连城镇国土空间总体规划（2024~2035)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广州新华学院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资源与城乡规划学院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海丝遗珠 风起凤浦——微改造精提升理念下的广州市海珠区黄埔古村村庄规划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湖南工业大学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城市与环境学院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厚植生态靓底色，共筑绝美张家界——基于RSEI的生态安全格局构建下的张家界市国土空间优化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重庆工商大学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经济管理实验教学中心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缘起金凤·美丽乡村——重庆市渝北区金凤村美丽乡村建设规划(2025-2030)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中国地质大学（武汉）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绿意盈怀，惠农诗篇——大通回族土族自治县朔北乡药匠台村“多规合一”实用性村庄规划（2021-2035）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中国农业大学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土地科学与技术学院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池缘林下 阡陌人家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南京农业大学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人文与社会发展学院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工业格局新优化，莺脰湖畔景致佳——苏州市吴江区平望镇莺湖村村庄规划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武汉大学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城市设计学院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红绿交融，五彩高桥--黄冈市红安县高桥镇国土空间总体规划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湖南科技大学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建筑与艺术设计学院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枫红梓绿映清塘—基于多重叙事理论祁阳县进宝塘镇枫梓塘村村庄规划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中国人民大学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“藏龙御风，生生不息”—陕西省西安市长安区王曲街道藏龙寨村国土空间规划（2025-2035年）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兰州大学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资源环境学院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贯川流水春和景，民康物阜家国情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中国地质大学（武汉）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农旅助兴、驿亭东庄——随州市长岗镇东庄畈村“多规合一”实用性村庄规划（2024-2035）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甘肃农业大学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武山县龙台镇大庄村村庄规划(2024-2035)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南京师范大学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地理科学学院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“因荷而来 在水一方”南京市栖霞区龙潭街道陈店村实用性村庄规划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南京财经大学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生态田园·渔美乡村·幸福东方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西北师范大学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逐“绿”而行 向“质”而兴—民勤县国土空间生态修复规划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石河子大学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故城展遗韵，北庭绘新篇——生态文明理念下的吉木萨尔县三台镇潘家台子村村庄规划(2024-2035年)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江西财经大学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财税与公共管理学院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绿意交织，共谱和谐乐章——萍乡市湘东区麻山镇连山村村庄规划（2021-2035）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武汉大学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资源与环境科学学院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“智联沃土，民主生花”民主村村庄规划（2023-2035年）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华中师范大学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嬉水童谣康养地•乡思桥上双河岭—恩施市太阳河乡双河岭村村庄规划（2022-2035）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湖南师范大学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地理科学学院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引水活源，潭笑丰生——新内生发展视角下的西湖潭村村庄规划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河南城建学院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测绘与城市空间信息学院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白寻道阡陌 望远咀华——多规合一背景下的方城县独树镇白咀村村庄规划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内蒙古师范大学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地理科学学院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《“梦溪源居神水台 翠谷悠乡田园居”乌审旗神水台村“多规合一”实用性村庄规划》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华南农业大学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“白水青山一带间，茗香客游营万林”——生态产品价值实现视域下江门市鹤山市宅梧镇白水带村村庄规划（2023-2035）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南宁师范大学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自然资源与测绘学院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“农旅胜地龙胜寻，古寨梯田别样新”--------桂林龙胜梯田古寨群国土空间规划（2024-2035）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河南财经政法大学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旅游与会展学院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康养融三生，一眼汤泉伴乡邻——汝州市温泉镇张寨村村庄规划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湖北科技学院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资源环境科学与工程学院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千里莺啼绿映红，叶翠青松草沐晖 赤壁市官塘驿镇西湾村村庄规划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天津商业大学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莫道桑榆晚，为霞尚满天——天津市红桥区咸阳北路周边康养型社区改造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重庆城市科技学院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建筑与土木工程学院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共享街区·重庆南岸马鞍山片区旧城改造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湖南农业大学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资源学院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水韵藏荷香  和谐谱新章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029954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hZmU2NTBjOTdiNjRkOTY1OWNkZTNkZWE1ZDg0OWEifQ=="/>
  </w:docVars>
  <w:rsids>
    <w:rsidRoot w:val="00356300"/>
    <w:rsid w:val="0000558E"/>
    <w:rsid w:val="00006598"/>
    <w:rsid w:val="00015439"/>
    <w:rsid w:val="000167CA"/>
    <w:rsid w:val="000258F2"/>
    <w:rsid w:val="000369F8"/>
    <w:rsid w:val="00084598"/>
    <w:rsid w:val="00097961"/>
    <w:rsid w:val="000B5604"/>
    <w:rsid w:val="000B7B62"/>
    <w:rsid w:val="000D1454"/>
    <w:rsid w:val="000D5308"/>
    <w:rsid w:val="000F24C7"/>
    <w:rsid w:val="001079E0"/>
    <w:rsid w:val="00121B8A"/>
    <w:rsid w:val="00122E8E"/>
    <w:rsid w:val="001277DF"/>
    <w:rsid w:val="00140B92"/>
    <w:rsid w:val="00141E06"/>
    <w:rsid w:val="00143A3F"/>
    <w:rsid w:val="001752DB"/>
    <w:rsid w:val="00175C28"/>
    <w:rsid w:val="00181162"/>
    <w:rsid w:val="0018286E"/>
    <w:rsid w:val="001837A5"/>
    <w:rsid w:val="001944A8"/>
    <w:rsid w:val="001B0FC2"/>
    <w:rsid w:val="001D059F"/>
    <w:rsid w:val="00210249"/>
    <w:rsid w:val="00251128"/>
    <w:rsid w:val="00276CD9"/>
    <w:rsid w:val="002949F6"/>
    <w:rsid w:val="003206E3"/>
    <w:rsid w:val="00322568"/>
    <w:rsid w:val="00336E78"/>
    <w:rsid w:val="00351779"/>
    <w:rsid w:val="00356300"/>
    <w:rsid w:val="00376C75"/>
    <w:rsid w:val="003838EF"/>
    <w:rsid w:val="003B0D81"/>
    <w:rsid w:val="003E42F0"/>
    <w:rsid w:val="003F010F"/>
    <w:rsid w:val="003F27CC"/>
    <w:rsid w:val="003F3D19"/>
    <w:rsid w:val="00407779"/>
    <w:rsid w:val="004122EB"/>
    <w:rsid w:val="00432699"/>
    <w:rsid w:val="00457B23"/>
    <w:rsid w:val="00480672"/>
    <w:rsid w:val="00493632"/>
    <w:rsid w:val="00493C3C"/>
    <w:rsid w:val="00495E09"/>
    <w:rsid w:val="004D3F3B"/>
    <w:rsid w:val="004D6020"/>
    <w:rsid w:val="004E7FD4"/>
    <w:rsid w:val="00530A85"/>
    <w:rsid w:val="00534133"/>
    <w:rsid w:val="00534761"/>
    <w:rsid w:val="00543D71"/>
    <w:rsid w:val="0056323B"/>
    <w:rsid w:val="0056338E"/>
    <w:rsid w:val="00574F93"/>
    <w:rsid w:val="005A032D"/>
    <w:rsid w:val="005B5F04"/>
    <w:rsid w:val="005C638F"/>
    <w:rsid w:val="005E72C5"/>
    <w:rsid w:val="006011FC"/>
    <w:rsid w:val="00642596"/>
    <w:rsid w:val="006441D8"/>
    <w:rsid w:val="006513B8"/>
    <w:rsid w:val="00655506"/>
    <w:rsid w:val="00661F30"/>
    <w:rsid w:val="00663CFD"/>
    <w:rsid w:val="006704B2"/>
    <w:rsid w:val="0067453A"/>
    <w:rsid w:val="006B046F"/>
    <w:rsid w:val="006C7BA0"/>
    <w:rsid w:val="006D2044"/>
    <w:rsid w:val="006D5FA5"/>
    <w:rsid w:val="006E07EA"/>
    <w:rsid w:val="006E384E"/>
    <w:rsid w:val="00714CE3"/>
    <w:rsid w:val="0073591D"/>
    <w:rsid w:val="00751843"/>
    <w:rsid w:val="00767C88"/>
    <w:rsid w:val="00772804"/>
    <w:rsid w:val="00772D6A"/>
    <w:rsid w:val="00794248"/>
    <w:rsid w:val="007B7760"/>
    <w:rsid w:val="007E2840"/>
    <w:rsid w:val="0082783B"/>
    <w:rsid w:val="00834ABC"/>
    <w:rsid w:val="008461C3"/>
    <w:rsid w:val="008558AE"/>
    <w:rsid w:val="00863AAA"/>
    <w:rsid w:val="008931E7"/>
    <w:rsid w:val="008F0E7C"/>
    <w:rsid w:val="008F5FB0"/>
    <w:rsid w:val="00930B8A"/>
    <w:rsid w:val="009512E8"/>
    <w:rsid w:val="00967E46"/>
    <w:rsid w:val="009806C6"/>
    <w:rsid w:val="00996A33"/>
    <w:rsid w:val="009C02D3"/>
    <w:rsid w:val="009C2A79"/>
    <w:rsid w:val="009C7A28"/>
    <w:rsid w:val="009F633A"/>
    <w:rsid w:val="00A121B9"/>
    <w:rsid w:val="00A5751F"/>
    <w:rsid w:val="00A64BA3"/>
    <w:rsid w:val="00A676B1"/>
    <w:rsid w:val="00A67B84"/>
    <w:rsid w:val="00A74697"/>
    <w:rsid w:val="00A77E7F"/>
    <w:rsid w:val="00A92EBA"/>
    <w:rsid w:val="00AA566A"/>
    <w:rsid w:val="00AC1189"/>
    <w:rsid w:val="00AD0A05"/>
    <w:rsid w:val="00AE33DE"/>
    <w:rsid w:val="00B46889"/>
    <w:rsid w:val="00B83600"/>
    <w:rsid w:val="00B8606B"/>
    <w:rsid w:val="00B87BBC"/>
    <w:rsid w:val="00BA2372"/>
    <w:rsid w:val="00BB2FE2"/>
    <w:rsid w:val="00BB532D"/>
    <w:rsid w:val="00BD52DD"/>
    <w:rsid w:val="00BE4101"/>
    <w:rsid w:val="00C23599"/>
    <w:rsid w:val="00C36702"/>
    <w:rsid w:val="00C4069D"/>
    <w:rsid w:val="00C61A62"/>
    <w:rsid w:val="00C644E2"/>
    <w:rsid w:val="00C748B1"/>
    <w:rsid w:val="00C8609F"/>
    <w:rsid w:val="00C97C1C"/>
    <w:rsid w:val="00CA7305"/>
    <w:rsid w:val="00CB3F6A"/>
    <w:rsid w:val="00CC7B4B"/>
    <w:rsid w:val="00CE28EC"/>
    <w:rsid w:val="00CE638A"/>
    <w:rsid w:val="00D10B48"/>
    <w:rsid w:val="00D17858"/>
    <w:rsid w:val="00D239B5"/>
    <w:rsid w:val="00D265D2"/>
    <w:rsid w:val="00D3451D"/>
    <w:rsid w:val="00D36FA0"/>
    <w:rsid w:val="00D37522"/>
    <w:rsid w:val="00D74D05"/>
    <w:rsid w:val="00DB64BE"/>
    <w:rsid w:val="00DC0252"/>
    <w:rsid w:val="00DE72F0"/>
    <w:rsid w:val="00DE7796"/>
    <w:rsid w:val="00DF3BF8"/>
    <w:rsid w:val="00E47A11"/>
    <w:rsid w:val="00EC03E1"/>
    <w:rsid w:val="00ED006F"/>
    <w:rsid w:val="00ED716C"/>
    <w:rsid w:val="00EE67BA"/>
    <w:rsid w:val="00EF0731"/>
    <w:rsid w:val="00F22719"/>
    <w:rsid w:val="00F66078"/>
    <w:rsid w:val="00F859D8"/>
    <w:rsid w:val="00FD154A"/>
    <w:rsid w:val="00FD6860"/>
    <w:rsid w:val="00FE10CC"/>
    <w:rsid w:val="00FE7A41"/>
    <w:rsid w:val="00FF0A99"/>
    <w:rsid w:val="00FF1101"/>
    <w:rsid w:val="32F04610"/>
    <w:rsid w:val="5A000958"/>
    <w:rsid w:val="76A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CM14"/>
    <w:basedOn w:val="11"/>
    <w:next w:val="11"/>
    <w:qFormat/>
    <w:uiPriority w:val="99"/>
    <w:rPr>
      <w:rFonts w:cs="Times New Roman"/>
      <w:color w:val="auto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c-text"/>
    <w:basedOn w:val="7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7"/>
    <w:link w:val="3"/>
    <w:semiHidden/>
    <w:qFormat/>
    <w:uiPriority w:val="99"/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29BB-2814-4617-9DDF-59CE39B62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701</Words>
  <Characters>4000</Characters>
  <Lines>33</Lines>
  <Paragraphs>9</Paragraphs>
  <TotalTime>3</TotalTime>
  <ScaleCrop>false</ScaleCrop>
  <LinksUpToDate>false</LinksUpToDate>
  <CharactersWithSpaces>4692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2024-07-22T06:14:00Z</dcterms:created>
  <dc:creator>Lenovo</dc:creator>
  <cp:lastModifiedBy>牟涵</cp:lastModifiedBy>
  <dcterms:modified xsi:type="dcterms:W3CDTF">2024-07-22T08:16:19Z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9A22193B9CF842B5A79E09EF5BCFA6C0_13</vt:lpwstr>
  </property>
</Properties>
</file>